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522AE9">
      <w:pPr>
        <w:rPr>
          <w:rFonts w:hint="eastAsia" w:ascii="Times New Roman" w:hAnsi="Times New Roman" w:eastAsia="方正仿宋_GBK"/>
          <w:color w:val="000000"/>
          <w:sz w:val="32"/>
          <w:szCs w:val="32"/>
          <w:highlight w:val="none"/>
        </w:rPr>
      </w:pPr>
      <w:bookmarkStart w:id="0" w:name="_GoBack"/>
      <w:bookmarkEnd w:id="0"/>
      <w:r>
        <w:rPr>
          <w:rFonts w:hint="eastAsia" w:ascii="Times New Roman" w:hAnsi="Times New Roman" w:eastAsia="方正仿宋_GBK"/>
          <w:color w:val="000000"/>
          <w:sz w:val="32"/>
          <w:szCs w:val="32"/>
          <w:highlight w:val="none"/>
        </w:rPr>
        <w:t>附件：</w:t>
      </w:r>
    </w:p>
    <w:p w14:paraId="3C441CF6">
      <w:pPr>
        <w:jc w:val="center"/>
        <w:rPr>
          <w:rFonts w:hint="eastAsia" w:ascii="方正小标宋_GBK" w:eastAsia="方正小标宋_GBK"/>
          <w:sz w:val="44"/>
          <w:szCs w:val="44"/>
          <w:highlight w:val="none"/>
        </w:rPr>
      </w:pPr>
      <w:r>
        <w:rPr>
          <w:rFonts w:hint="eastAsia" w:ascii="方正小标宋_GBK" w:eastAsia="方正小标宋_GBK"/>
          <w:sz w:val="44"/>
          <w:szCs w:val="44"/>
          <w:highlight w:val="none"/>
        </w:rPr>
        <w:t>报废资</w:t>
      </w:r>
      <w:r>
        <w:rPr>
          <w:rFonts w:hint="eastAsia" w:ascii="方正小标宋_GBK" w:eastAsia="方正小标宋_GBK"/>
          <w:sz w:val="44"/>
          <w:szCs w:val="44"/>
          <w:highlight w:val="none"/>
          <w:lang w:val="en-US" w:eastAsia="zh-CN"/>
        </w:rPr>
        <w:t>产</w:t>
      </w:r>
      <w:r>
        <w:rPr>
          <w:rFonts w:hint="eastAsia" w:ascii="方正小标宋_GBK" w:eastAsia="方正小标宋_GBK"/>
          <w:sz w:val="44"/>
          <w:szCs w:val="44"/>
          <w:highlight w:val="none"/>
        </w:rPr>
        <w:t>出价处置报价表</w:t>
      </w:r>
    </w:p>
    <w:tbl>
      <w:tblPr>
        <w:tblStyle w:val="2"/>
        <w:tblpPr w:leftFromText="180" w:rightFromText="180" w:vertAnchor="text" w:horzAnchor="page" w:tblpXSpec="center" w:tblpY="599"/>
        <w:tblOverlap w:val="never"/>
        <w:tblW w:w="94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3"/>
        <w:gridCol w:w="825"/>
        <w:gridCol w:w="2968"/>
        <w:gridCol w:w="1843"/>
        <w:gridCol w:w="2869"/>
      </w:tblGrid>
      <w:tr w14:paraId="5BB03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Pr>
        <w:tc>
          <w:tcPr>
            <w:tcW w:w="1818" w:type="dxa"/>
            <w:gridSpan w:val="2"/>
            <w:noWrap w:val="0"/>
            <w:vAlign w:val="top"/>
          </w:tcPr>
          <w:p w14:paraId="4C914E7D">
            <w:pPr>
              <w:rPr>
                <w:rFonts w:ascii="Times New Roman" w:hAnsi="Times New Roman" w:eastAsia="方正仿宋_GBK"/>
                <w:sz w:val="32"/>
                <w:szCs w:val="32"/>
                <w:highlight w:val="none"/>
              </w:rPr>
            </w:pPr>
            <w:r>
              <w:rPr>
                <w:rFonts w:ascii="Times New Roman" w:hAnsi="Times New Roman" w:eastAsia="方正仿宋_GBK"/>
                <w:sz w:val="32"/>
                <w:szCs w:val="32"/>
                <w:highlight w:val="none"/>
              </w:rPr>
              <w:t>项目名称：</w:t>
            </w:r>
          </w:p>
        </w:tc>
        <w:tc>
          <w:tcPr>
            <w:tcW w:w="7680" w:type="dxa"/>
            <w:gridSpan w:val="3"/>
            <w:noWrap w:val="0"/>
            <w:vAlign w:val="top"/>
          </w:tcPr>
          <w:p w14:paraId="6F7D24C6">
            <w:pPr>
              <w:spacing w:line="400" w:lineRule="exact"/>
              <w:rPr>
                <w:rFonts w:ascii="Times New Roman" w:hAnsi="Times New Roman" w:eastAsia="方正仿宋_GBK"/>
                <w:sz w:val="32"/>
                <w:szCs w:val="32"/>
                <w:highlight w:val="none"/>
              </w:rPr>
            </w:pPr>
            <w:r>
              <w:rPr>
                <w:rFonts w:ascii="Times New Roman" w:hAnsi="Times New Roman" w:eastAsia="方正仿宋_GBK"/>
                <w:sz w:val="32"/>
                <w:szCs w:val="32"/>
                <w:highlight w:val="none"/>
              </w:rPr>
              <w:t>重庆市工业和信息化发展中心</w:t>
            </w:r>
          </w:p>
          <w:p w14:paraId="62C1630A">
            <w:pPr>
              <w:spacing w:line="400" w:lineRule="exact"/>
              <w:rPr>
                <w:rFonts w:ascii="Times New Roman" w:hAnsi="Times New Roman" w:eastAsia="方正仿宋_GBK"/>
                <w:sz w:val="32"/>
                <w:szCs w:val="32"/>
                <w:highlight w:val="none"/>
              </w:rPr>
            </w:pPr>
            <w:r>
              <w:rPr>
                <w:rFonts w:ascii="Times New Roman" w:hAnsi="Times New Roman" w:eastAsia="方正仿宋_GBK"/>
                <w:sz w:val="32"/>
                <w:szCs w:val="32"/>
                <w:highlight w:val="none"/>
              </w:rPr>
              <w:t>2026年度报废固定资产项目</w:t>
            </w:r>
          </w:p>
        </w:tc>
      </w:tr>
      <w:tr w14:paraId="53875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Pr>
        <w:tc>
          <w:tcPr>
            <w:tcW w:w="1818" w:type="dxa"/>
            <w:gridSpan w:val="2"/>
            <w:noWrap w:val="0"/>
            <w:vAlign w:val="top"/>
          </w:tcPr>
          <w:p w14:paraId="4ABB5CB8">
            <w:pPr>
              <w:rPr>
                <w:rFonts w:ascii="Times New Roman" w:hAnsi="Times New Roman" w:eastAsia="方正仿宋_GBK"/>
                <w:sz w:val="32"/>
                <w:szCs w:val="32"/>
                <w:highlight w:val="none"/>
              </w:rPr>
            </w:pPr>
            <w:r>
              <w:rPr>
                <w:rFonts w:ascii="Times New Roman" w:hAnsi="Times New Roman" w:eastAsia="方正仿宋_GBK"/>
                <w:sz w:val="32"/>
                <w:szCs w:val="32"/>
                <w:highlight w:val="none"/>
              </w:rPr>
              <w:t>拟处置资产</w:t>
            </w:r>
          </w:p>
        </w:tc>
        <w:tc>
          <w:tcPr>
            <w:tcW w:w="7680" w:type="dxa"/>
            <w:gridSpan w:val="3"/>
            <w:noWrap w:val="0"/>
            <w:vAlign w:val="top"/>
          </w:tcPr>
          <w:p w14:paraId="6443C09B">
            <w:pPr>
              <w:rPr>
                <w:rFonts w:ascii="Times New Roman" w:hAnsi="Times New Roman" w:eastAsia="方正仿宋_GBK"/>
                <w:sz w:val="32"/>
                <w:szCs w:val="32"/>
                <w:highlight w:val="none"/>
              </w:rPr>
            </w:pPr>
            <w:r>
              <w:rPr>
                <w:rFonts w:ascii="Times New Roman" w:hAnsi="Times New Roman" w:eastAsia="方正仿宋_GBK"/>
                <w:sz w:val="32"/>
                <w:szCs w:val="32"/>
                <w:highlight w:val="none"/>
              </w:rPr>
              <w:t>家具一批</w:t>
            </w:r>
          </w:p>
        </w:tc>
      </w:tr>
      <w:tr w14:paraId="16FCC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Pr>
        <w:tc>
          <w:tcPr>
            <w:tcW w:w="1818" w:type="dxa"/>
            <w:gridSpan w:val="2"/>
            <w:noWrap w:val="0"/>
            <w:vAlign w:val="center"/>
          </w:tcPr>
          <w:p w14:paraId="27AA194C">
            <w:pPr>
              <w:rPr>
                <w:rFonts w:ascii="Times New Roman" w:hAnsi="Times New Roman" w:eastAsia="方正仿宋_GBK"/>
                <w:sz w:val="32"/>
                <w:szCs w:val="32"/>
                <w:highlight w:val="none"/>
              </w:rPr>
            </w:pPr>
            <w:r>
              <w:rPr>
                <w:rFonts w:ascii="Times New Roman" w:hAnsi="Times New Roman" w:eastAsia="方正仿宋_GBK"/>
                <w:sz w:val="32"/>
                <w:szCs w:val="32"/>
                <w:highlight w:val="none"/>
              </w:rPr>
              <w:t>出价公司</w:t>
            </w:r>
          </w:p>
        </w:tc>
        <w:tc>
          <w:tcPr>
            <w:tcW w:w="2968" w:type="dxa"/>
            <w:noWrap w:val="0"/>
            <w:vAlign w:val="center"/>
          </w:tcPr>
          <w:p w14:paraId="23185698">
            <w:pPr>
              <w:rPr>
                <w:rFonts w:ascii="Times New Roman" w:hAnsi="Times New Roman" w:eastAsia="方正仿宋_GBK"/>
                <w:sz w:val="32"/>
                <w:szCs w:val="32"/>
                <w:highlight w:val="none"/>
              </w:rPr>
            </w:pPr>
          </w:p>
        </w:tc>
        <w:tc>
          <w:tcPr>
            <w:tcW w:w="1843" w:type="dxa"/>
            <w:noWrap w:val="0"/>
            <w:vAlign w:val="center"/>
          </w:tcPr>
          <w:p w14:paraId="14C2820C">
            <w:pPr>
              <w:rPr>
                <w:rFonts w:hint="eastAsia" w:ascii="Times New Roman" w:hAnsi="Times New Roman" w:eastAsia="方正仿宋_GBK"/>
                <w:sz w:val="32"/>
                <w:szCs w:val="32"/>
                <w:highlight w:val="none"/>
              </w:rPr>
            </w:pPr>
            <w:r>
              <w:rPr>
                <w:rFonts w:ascii="Times New Roman" w:hAnsi="Times New Roman" w:eastAsia="方正仿宋_GBK"/>
                <w:sz w:val="32"/>
                <w:szCs w:val="32"/>
                <w:highlight w:val="none"/>
              </w:rPr>
              <w:t>联系人及联系电话</w:t>
            </w:r>
          </w:p>
        </w:tc>
        <w:tc>
          <w:tcPr>
            <w:tcW w:w="2869" w:type="dxa"/>
            <w:noWrap w:val="0"/>
            <w:vAlign w:val="top"/>
          </w:tcPr>
          <w:p w14:paraId="579F2E1A">
            <w:pPr>
              <w:rPr>
                <w:rFonts w:ascii="Times New Roman" w:hAnsi="Times New Roman" w:eastAsia="方正仿宋_GBK"/>
                <w:sz w:val="32"/>
                <w:szCs w:val="32"/>
                <w:highlight w:val="none"/>
              </w:rPr>
            </w:pPr>
            <w:r>
              <w:rPr>
                <w:rFonts w:ascii="Times New Roman" w:hAnsi="Times New Roman" w:eastAsia="方正仿宋_GBK"/>
                <w:sz w:val="32"/>
                <w:szCs w:val="32"/>
                <w:highlight w:val="none"/>
              </w:rPr>
              <w:br w:type="textWrapping"/>
            </w:r>
          </w:p>
        </w:tc>
      </w:tr>
      <w:tr w14:paraId="55AAC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099" w:hRule="atLeast"/>
        </w:trPr>
        <w:tc>
          <w:tcPr>
            <w:tcW w:w="993" w:type="dxa"/>
            <w:vMerge w:val="restart"/>
            <w:noWrap w:val="0"/>
            <w:vAlign w:val="center"/>
          </w:tcPr>
          <w:p w14:paraId="6496AD4D">
            <w:pPr>
              <w:jc w:val="center"/>
              <w:rPr>
                <w:rFonts w:ascii="Times New Roman" w:hAnsi="Times New Roman" w:eastAsia="方正仿宋_GBK"/>
                <w:sz w:val="32"/>
                <w:szCs w:val="32"/>
                <w:highlight w:val="none"/>
              </w:rPr>
            </w:pPr>
            <w:r>
              <w:rPr>
                <w:rFonts w:ascii="Times New Roman" w:hAnsi="Times New Roman" w:eastAsia="方正仿宋_GBK"/>
                <w:sz w:val="32"/>
                <w:szCs w:val="32"/>
                <w:highlight w:val="none"/>
              </w:rPr>
              <w:t>出</w:t>
            </w:r>
          </w:p>
          <w:p w14:paraId="520744C1">
            <w:pPr>
              <w:jc w:val="center"/>
              <w:rPr>
                <w:rFonts w:ascii="Times New Roman" w:hAnsi="Times New Roman" w:eastAsia="方正仿宋_GBK"/>
                <w:sz w:val="32"/>
                <w:szCs w:val="32"/>
                <w:highlight w:val="none"/>
              </w:rPr>
            </w:pPr>
            <w:r>
              <w:rPr>
                <w:rFonts w:ascii="Times New Roman" w:hAnsi="Times New Roman" w:eastAsia="方正仿宋_GBK"/>
                <w:sz w:val="32"/>
                <w:szCs w:val="32"/>
                <w:highlight w:val="none"/>
              </w:rPr>
              <w:t>价</w:t>
            </w:r>
          </w:p>
          <w:p w14:paraId="5D090132">
            <w:pPr>
              <w:jc w:val="center"/>
              <w:rPr>
                <w:rFonts w:ascii="Times New Roman" w:hAnsi="Times New Roman" w:eastAsia="方正仿宋_GBK"/>
                <w:sz w:val="32"/>
                <w:szCs w:val="32"/>
                <w:highlight w:val="none"/>
              </w:rPr>
            </w:pPr>
            <w:r>
              <w:rPr>
                <w:rFonts w:ascii="Times New Roman" w:hAnsi="Times New Roman" w:eastAsia="方正仿宋_GBK"/>
                <w:sz w:val="32"/>
                <w:szCs w:val="32"/>
                <w:highlight w:val="none"/>
              </w:rPr>
              <w:t>价</w:t>
            </w:r>
          </w:p>
          <w:p w14:paraId="59C76960">
            <w:pPr>
              <w:jc w:val="center"/>
              <w:rPr>
                <w:rFonts w:ascii="Times New Roman" w:hAnsi="Times New Roman" w:eastAsia="方正仿宋_GBK"/>
                <w:sz w:val="32"/>
                <w:szCs w:val="32"/>
                <w:highlight w:val="none"/>
              </w:rPr>
            </w:pPr>
            <w:r>
              <w:rPr>
                <w:rFonts w:ascii="Times New Roman" w:hAnsi="Times New Roman" w:eastAsia="方正仿宋_GBK"/>
                <w:sz w:val="32"/>
                <w:szCs w:val="32"/>
                <w:highlight w:val="none"/>
              </w:rPr>
              <w:t>格</w:t>
            </w:r>
          </w:p>
        </w:tc>
        <w:tc>
          <w:tcPr>
            <w:tcW w:w="3793" w:type="dxa"/>
            <w:gridSpan w:val="2"/>
            <w:noWrap w:val="0"/>
            <w:vAlign w:val="top"/>
          </w:tcPr>
          <w:p w14:paraId="75843E8D">
            <w:pPr>
              <w:rPr>
                <w:rFonts w:ascii="Times New Roman" w:hAnsi="Times New Roman" w:eastAsia="方正仿宋_GBK"/>
                <w:sz w:val="32"/>
                <w:szCs w:val="32"/>
                <w:highlight w:val="none"/>
              </w:rPr>
            </w:pPr>
            <w:r>
              <w:rPr>
                <w:rFonts w:ascii="Times New Roman" w:hAnsi="Times New Roman" w:eastAsia="方正仿宋_GBK"/>
                <w:sz w:val="32"/>
                <w:szCs w:val="32"/>
                <w:highlight w:val="none"/>
              </w:rPr>
              <w:t>小写：</w:t>
            </w:r>
          </w:p>
          <w:p w14:paraId="398E5D4F">
            <w:pPr>
              <w:rPr>
                <w:rFonts w:hint="eastAsia" w:ascii="Times New Roman" w:hAnsi="Times New Roman" w:eastAsia="方正仿宋_GBK"/>
                <w:sz w:val="32"/>
                <w:szCs w:val="32"/>
                <w:highlight w:val="none"/>
              </w:rPr>
            </w:pPr>
          </w:p>
        </w:tc>
        <w:tc>
          <w:tcPr>
            <w:tcW w:w="4712" w:type="dxa"/>
            <w:gridSpan w:val="2"/>
            <w:noWrap w:val="0"/>
            <w:vAlign w:val="top"/>
          </w:tcPr>
          <w:p w14:paraId="3DCB95AC">
            <w:pPr>
              <w:rPr>
                <w:rFonts w:ascii="Times New Roman" w:hAnsi="Times New Roman" w:eastAsia="方正仿宋_GBK"/>
                <w:sz w:val="32"/>
                <w:szCs w:val="32"/>
                <w:highlight w:val="none"/>
              </w:rPr>
            </w:pPr>
            <w:r>
              <w:rPr>
                <w:rFonts w:ascii="Times New Roman" w:hAnsi="Times New Roman" w:eastAsia="方正仿宋_GBK"/>
                <w:sz w:val="32"/>
                <w:szCs w:val="32"/>
                <w:highlight w:val="none"/>
              </w:rPr>
              <w:t>大写：</w:t>
            </w:r>
          </w:p>
          <w:p w14:paraId="68532F28">
            <w:pPr>
              <w:rPr>
                <w:rFonts w:hint="eastAsia" w:ascii="Times New Roman" w:hAnsi="Times New Roman" w:eastAsia="方正仿宋_GBK"/>
                <w:sz w:val="32"/>
                <w:szCs w:val="32"/>
                <w:highlight w:val="none"/>
              </w:rPr>
            </w:pPr>
          </w:p>
        </w:tc>
      </w:tr>
      <w:tr w14:paraId="56E45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34" w:hRule="atLeast"/>
        </w:trPr>
        <w:tc>
          <w:tcPr>
            <w:tcW w:w="993" w:type="dxa"/>
            <w:vMerge w:val="continue"/>
            <w:noWrap w:val="0"/>
            <w:vAlign w:val="top"/>
          </w:tcPr>
          <w:p w14:paraId="7FF4A549">
            <w:pPr>
              <w:rPr>
                <w:rFonts w:ascii="Times New Roman" w:hAnsi="Times New Roman" w:eastAsia="方正仿宋_GBK"/>
                <w:sz w:val="32"/>
                <w:szCs w:val="32"/>
                <w:highlight w:val="none"/>
              </w:rPr>
            </w:pPr>
          </w:p>
        </w:tc>
        <w:tc>
          <w:tcPr>
            <w:tcW w:w="8505" w:type="dxa"/>
            <w:gridSpan w:val="4"/>
            <w:noWrap w:val="0"/>
            <w:vAlign w:val="top"/>
          </w:tcPr>
          <w:p w14:paraId="4C2F59A8">
            <w:pPr>
              <w:rPr>
                <w:rFonts w:ascii="Times New Roman" w:hAnsi="Times New Roman" w:eastAsia="方正仿宋_GBK"/>
                <w:sz w:val="32"/>
                <w:szCs w:val="32"/>
                <w:highlight w:val="none"/>
              </w:rPr>
            </w:pPr>
            <w:r>
              <w:rPr>
                <w:rFonts w:ascii="Times New Roman" w:hAnsi="Times New Roman" w:eastAsia="方正仿宋_GBK"/>
                <w:sz w:val="32"/>
                <w:szCs w:val="32"/>
                <w:highlight w:val="none"/>
              </w:rPr>
              <w:t>构成说明：所出价价格为含人工费、机械费、运输费、保险费、吊装费等一切有关费用的综合总价。包括不限于出价标的本身的价值和处置标的物施工的费用。小写与大写金额必须保持一致。</w:t>
            </w:r>
          </w:p>
        </w:tc>
      </w:tr>
      <w:tr w14:paraId="71681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34" w:hRule="atLeast"/>
        </w:trPr>
        <w:tc>
          <w:tcPr>
            <w:tcW w:w="9498" w:type="dxa"/>
            <w:gridSpan w:val="5"/>
            <w:noWrap w:val="0"/>
            <w:vAlign w:val="top"/>
          </w:tcPr>
          <w:p w14:paraId="089422E6">
            <w:pPr>
              <w:rPr>
                <w:rFonts w:ascii="Times New Roman" w:hAnsi="Times New Roman" w:eastAsia="方正仿宋_GBK"/>
                <w:sz w:val="32"/>
                <w:szCs w:val="32"/>
                <w:highlight w:val="none"/>
              </w:rPr>
            </w:pPr>
            <w:r>
              <w:rPr>
                <w:rFonts w:ascii="Times New Roman" w:hAnsi="Times New Roman" w:eastAsia="方正仿宋_GBK"/>
                <w:sz w:val="32"/>
                <w:szCs w:val="32"/>
                <w:highlight w:val="none"/>
              </w:rPr>
              <w:t xml:space="preserve">                          出价须知</w:t>
            </w:r>
          </w:p>
          <w:p w14:paraId="19FAC11A">
            <w:pPr>
              <w:rPr>
                <w:rFonts w:ascii="Times New Roman" w:hAnsi="Times New Roman" w:eastAsia="方正仿宋_GBK"/>
                <w:sz w:val="32"/>
                <w:szCs w:val="32"/>
                <w:highlight w:val="none"/>
              </w:rPr>
            </w:pPr>
            <w:r>
              <w:rPr>
                <w:rFonts w:ascii="Times New Roman" w:hAnsi="Times New Roman" w:eastAsia="方正仿宋_GBK"/>
                <w:sz w:val="32"/>
                <w:szCs w:val="32"/>
                <w:highlight w:val="none"/>
              </w:rPr>
              <w:t>1.以下情况将被视为废标：</w:t>
            </w:r>
          </w:p>
          <w:p w14:paraId="73889C2E">
            <w:pPr>
              <w:rPr>
                <w:rFonts w:ascii="Times New Roman" w:hAnsi="Times New Roman" w:eastAsia="方正仿宋_GBK"/>
                <w:sz w:val="32"/>
                <w:szCs w:val="32"/>
                <w:highlight w:val="none"/>
              </w:rPr>
            </w:pPr>
            <w:r>
              <w:rPr>
                <w:rFonts w:ascii="Times New Roman" w:hAnsi="Times New Roman" w:eastAsia="方正仿宋_GBK"/>
                <w:sz w:val="32"/>
                <w:szCs w:val="32"/>
                <w:highlight w:val="none"/>
              </w:rPr>
              <w:t>1.1“报废物资出价处置报价表”未经客户单位盖章或授权人签字的；</w:t>
            </w:r>
          </w:p>
          <w:p w14:paraId="60B12D08">
            <w:pPr>
              <w:rPr>
                <w:rFonts w:ascii="Times New Roman" w:hAnsi="Times New Roman" w:eastAsia="方正仿宋_GBK"/>
                <w:sz w:val="32"/>
                <w:szCs w:val="32"/>
                <w:highlight w:val="none"/>
              </w:rPr>
            </w:pPr>
            <w:r>
              <w:rPr>
                <w:rFonts w:ascii="Times New Roman" w:hAnsi="Times New Roman" w:eastAsia="方正仿宋_GBK"/>
                <w:sz w:val="32"/>
                <w:szCs w:val="32"/>
                <w:highlight w:val="none"/>
              </w:rPr>
              <w:t>1.2未按规定的格式填写，内容不全或关键字迹模糊、无法辨认，影响实质性评判的；</w:t>
            </w:r>
          </w:p>
          <w:p w14:paraId="13024191">
            <w:pPr>
              <w:rPr>
                <w:rFonts w:ascii="Times New Roman" w:hAnsi="Times New Roman" w:eastAsia="方正仿宋_GBK"/>
                <w:sz w:val="32"/>
                <w:szCs w:val="32"/>
                <w:highlight w:val="none"/>
              </w:rPr>
            </w:pPr>
            <w:r>
              <w:rPr>
                <w:rFonts w:ascii="Times New Roman" w:hAnsi="Times New Roman" w:eastAsia="方正仿宋_GBK"/>
                <w:sz w:val="32"/>
                <w:szCs w:val="32"/>
                <w:highlight w:val="none"/>
              </w:rPr>
              <w:t>1.3同一公司提交两个或两个以上不同报价的；</w:t>
            </w:r>
          </w:p>
          <w:p w14:paraId="3C9156FF">
            <w:pPr>
              <w:rPr>
                <w:rFonts w:ascii="Times New Roman" w:hAnsi="Times New Roman" w:eastAsia="方正仿宋_GBK"/>
                <w:sz w:val="32"/>
                <w:szCs w:val="32"/>
                <w:highlight w:val="none"/>
              </w:rPr>
            </w:pPr>
            <w:r>
              <w:rPr>
                <w:rFonts w:ascii="Times New Roman" w:hAnsi="Times New Roman" w:eastAsia="方正仿宋_GBK"/>
                <w:sz w:val="32"/>
                <w:szCs w:val="32"/>
                <w:highlight w:val="none"/>
              </w:rPr>
              <w:t>1.4经查与其他客户相互串通报价，或者与我方相关工作人员串通报价的；</w:t>
            </w:r>
          </w:p>
          <w:p w14:paraId="4789C2B1">
            <w:pPr>
              <w:rPr>
                <w:rFonts w:ascii="Times New Roman" w:hAnsi="Times New Roman" w:eastAsia="方正仿宋_GBK"/>
                <w:sz w:val="32"/>
                <w:szCs w:val="32"/>
                <w:highlight w:val="none"/>
              </w:rPr>
            </w:pPr>
            <w:r>
              <w:rPr>
                <w:rFonts w:ascii="Times New Roman" w:hAnsi="Times New Roman" w:eastAsia="方正仿宋_GBK"/>
                <w:sz w:val="32"/>
                <w:szCs w:val="32"/>
                <w:highlight w:val="none"/>
              </w:rPr>
              <w:t>1.5出现影响资产处置公正的违法、违规行为的；</w:t>
            </w:r>
          </w:p>
          <w:p w14:paraId="467A249F">
            <w:pPr>
              <w:rPr>
                <w:rFonts w:ascii="Times New Roman" w:hAnsi="Times New Roman" w:eastAsia="方正仿宋_GBK"/>
                <w:sz w:val="32"/>
                <w:szCs w:val="32"/>
                <w:highlight w:val="none"/>
              </w:rPr>
            </w:pPr>
            <w:r>
              <w:rPr>
                <w:rFonts w:ascii="Times New Roman" w:hAnsi="Times New Roman" w:eastAsia="方正仿宋_GBK"/>
                <w:sz w:val="32"/>
                <w:szCs w:val="32"/>
                <w:highlight w:val="none"/>
              </w:rPr>
              <w:t>1.6因重大变故，资产处置任务取消或重大变更的，将取消或延缓本次处置工作将不给予出价公司任何补偿；</w:t>
            </w:r>
          </w:p>
          <w:p w14:paraId="26ED03A0">
            <w:pPr>
              <w:rPr>
                <w:rFonts w:ascii="Times New Roman" w:hAnsi="Times New Roman" w:eastAsia="方正仿宋_GBK"/>
                <w:sz w:val="32"/>
                <w:szCs w:val="32"/>
                <w:highlight w:val="none"/>
              </w:rPr>
            </w:pPr>
            <w:r>
              <w:rPr>
                <w:rFonts w:ascii="Times New Roman" w:hAnsi="Times New Roman" w:eastAsia="方正仿宋_GBK"/>
                <w:sz w:val="32"/>
                <w:szCs w:val="32"/>
                <w:highlight w:val="none"/>
              </w:rPr>
              <w:t>2. 评判原则：报价最高者中标。我单位有在至少不低于其报价的情况下与其进一步进行商谈的权利。</w:t>
            </w:r>
          </w:p>
          <w:p w14:paraId="0BE62914">
            <w:pPr>
              <w:rPr>
                <w:rFonts w:ascii="Times New Roman" w:hAnsi="Times New Roman" w:eastAsia="方正仿宋_GBK"/>
                <w:sz w:val="32"/>
                <w:szCs w:val="32"/>
                <w:highlight w:val="none"/>
              </w:rPr>
            </w:pPr>
            <w:r>
              <w:rPr>
                <w:rFonts w:ascii="Times New Roman" w:hAnsi="Times New Roman" w:eastAsia="方正仿宋_GBK"/>
                <w:sz w:val="32"/>
                <w:szCs w:val="32"/>
                <w:highlight w:val="none"/>
              </w:rPr>
              <w:t>3.标的物或项目以实物现状现况为准，出价单位必须自行认真核对，查看现场处置物资。一旦做出出价决定，即视为出价方接收标的物的现状和一切已知及未知的瑕疵，并责任自负。</w:t>
            </w:r>
          </w:p>
          <w:p w14:paraId="15FA9F45">
            <w:pPr>
              <w:rPr>
                <w:rFonts w:ascii="Times New Roman" w:hAnsi="Times New Roman" w:eastAsia="方正仿宋_GBK"/>
                <w:sz w:val="32"/>
                <w:szCs w:val="32"/>
                <w:highlight w:val="none"/>
              </w:rPr>
            </w:pPr>
            <w:r>
              <w:rPr>
                <w:rFonts w:ascii="Times New Roman" w:hAnsi="Times New Roman" w:eastAsia="方正仿宋_GBK"/>
                <w:sz w:val="32"/>
                <w:szCs w:val="32"/>
                <w:highlight w:val="none"/>
              </w:rPr>
              <w:t>4.其他未尽事宜，解释权由重庆市工业和信息化发展中心所有。</w:t>
            </w:r>
          </w:p>
        </w:tc>
      </w:tr>
      <w:tr w14:paraId="344F8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34" w:hRule="atLeast"/>
        </w:trPr>
        <w:tc>
          <w:tcPr>
            <w:tcW w:w="9498" w:type="dxa"/>
            <w:gridSpan w:val="5"/>
            <w:noWrap w:val="0"/>
            <w:vAlign w:val="top"/>
          </w:tcPr>
          <w:p w14:paraId="2303ACED">
            <w:pPr>
              <w:jc w:val="center"/>
              <w:rPr>
                <w:rFonts w:ascii="Times New Roman" w:hAnsi="Times New Roman" w:eastAsia="方正仿宋_GBK"/>
                <w:sz w:val="32"/>
                <w:szCs w:val="32"/>
                <w:highlight w:val="none"/>
              </w:rPr>
            </w:pPr>
            <w:r>
              <w:rPr>
                <w:rFonts w:ascii="Times New Roman" w:hAnsi="Times New Roman" w:eastAsia="方正仿宋_GBK"/>
                <w:sz w:val="32"/>
                <w:szCs w:val="32"/>
                <w:highlight w:val="none"/>
              </w:rPr>
              <w:t xml:space="preserve"> 出价单位确认</w:t>
            </w:r>
          </w:p>
          <w:p w14:paraId="2AF6E190">
            <w:pPr>
              <w:ind w:firstLine="640" w:firstLineChars="200"/>
              <w:rPr>
                <w:rFonts w:ascii="Times New Roman" w:hAnsi="Times New Roman" w:eastAsia="方正仿宋_GBK"/>
                <w:sz w:val="32"/>
                <w:szCs w:val="32"/>
                <w:highlight w:val="none"/>
              </w:rPr>
            </w:pPr>
            <w:r>
              <w:rPr>
                <w:rFonts w:ascii="Times New Roman" w:hAnsi="Times New Roman" w:eastAsia="方正仿宋_GBK"/>
                <w:sz w:val="32"/>
                <w:szCs w:val="32"/>
                <w:highlight w:val="none"/>
              </w:rPr>
              <w:t>我方已核对贵单位处置的报废资产清单并实地查看了实物核对完全无误，充分了解了处置的报废资产瑕疵及各方面情况，充分了解了出价构成，并自愿参加出价，所递的出价确认真实、有效。如果中标将按上述要求履行报价承诺及履行相关保密义务。</w:t>
            </w:r>
          </w:p>
          <w:p w14:paraId="09D56CA8">
            <w:pPr>
              <w:ind w:firstLine="640" w:firstLineChars="200"/>
              <w:rPr>
                <w:rFonts w:ascii="Times New Roman" w:hAnsi="Times New Roman" w:eastAsia="方正仿宋_GBK"/>
                <w:sz w:val="32"/>
                <w:szCs w:val="32"/>
                <w:highlight w:val="none"/>
              </w:rPr>
            </w:pPr>
            <w:r>
              <w:rPr>
                <w:rFonts w:ascii="Times New Roman" w:hAnsi="Times New Roman" w:eastAsia="方正仿宋_GBK"/>
                <w:sz w:val="32"/>
                <w:szCs w:val="32"/>
                <w:highlight w:val="none"/>
              </w:rPr>
              <w:t>同时我方承诺对贵单位的出价程序确认并认可，并无条件接受出价结果。</w:t>
            </w:r>
          </w:p>
          <w:p w14:paraId="638E0A91">
            <w:pPr>
              <w:ind w:firstLine="4480" w:firstLineChars="1400"/>
              <w:rPr>
                <w:rFonts w:ascii="Times New Roman" w:hAnsi="Times New Roman" w:eastAsia="方正仿宋_GBK"/>
                <w:sz w:val="32"/>
                <w:szCs w:val="32"/>
                <w:highlight w:val="none"/>
              </w:rPr>
            </w:pPr>
          </w:p>
          <w:p w14:paraId="7D8D4C59">
            <w:pPr>
              <w:ind w:firstLine="4480" w:firstLineChars="1400"/>
              <w:rPr>
                <w:rFonts w:ascii="Times New Roman" w:hAnsi="Times New Roman" w:eastAsia="方正仿宋_GBK"/>
                <w:sz w:val="32"/>
                <w:szCs w:val="32"/>
                <w:highlight w:val="none"/>
              </w:rPr>
            </w:pPr>
            <w:r>
              <w:rPr>
                <w:rFonts w:ascii="Times New Roman" w:hAnsi="Times New Roman" w:eastAsia="方正仿宋_GBK"/>
                <w:sz w:val="32"/>
                <w:szCs w:val="32"/>
                <w:highlight w:val="none"/>
              </w:rPr>
              <w:t>出价公司：</w:t>
            </w:r>
          </w:p>
          <w:p w14:paraId="013C88BD">
            <w:pPr>
              <w:ind w:firstLine="4480" w:firstLineChars="1400"/>
              <w:rPr>
                <w:rFonts w:ascii="Times New Roman" w:hAnsi="Times New Roman" w:eastAsia="方正仿宋_GBK"/>
                <w:sz w:val="32"/>
                <w:szCs w:val="32"/>
                <w:highlight w:val="none"/>
              </w:rPr>
            </w:pPr>
            <w:r>
              <w:rPr>
                <w:rFonts w:ascii="Times New Roman" w:hAnsi="Times New Roman" w:eastAsia="方正仿宋_GBK"/>
                <w:sz w:val="32"/>
                <w:szCs w:val="32"/>
                <w:highlight w:val="none"/>
              </w:rPr>
              <w:t>签字：</w:t>
            </w:r>
          </w:p>
          <w:p w14:paraId="17FADD63">
            <w:pPr>
              <w:rPr>
                <w:rFonts w:ascii="Times New Roman" w:hAnsi="Times New Roman" w:eastAsia="方正仿宋_GBK"/>
                <w:sz w:val="32"/>
                <w:szCs w:val="32"/>
                <w:highlight w:val="none"/>
              </w:rPr>
            </w:pPr>
            <w:r>
              <w:rPr>
                <w:rFonts w:ascii="Times New Roman" w:hAnsi="Times New Roman" w:eastAsia="方正仿宋_GBK"/>
                <w:sz w:val="32"/>
                <w:szCs w:val="32"/>
                <w:highlight w:val="none"/>
              </w:rPr>
              <w:t xml:space="preserve">                            日期：</w:t>
            </w:r>
          </w:p>
          <w:p w14:paraId="65269DF2">
            <w:pPr>
              <w:ind w:firstLine="4480" w:firstLineChars="1400"/>
              <w:rPr>
                <w:rFonts w:ascii="Times New Roman" w:hAnsi="Times New Roman" w:eastAsia="方正仿宋_GBK"/>
                <w:sz w:val="32"/>
                <w:szCs w:val="32"/>
                <w:highlight w:val="none"/>
              </w:rPr>
            </w:pPr>
            <w:r>
              <w:rPr>
                <w:rFonts w:ascii="Times New Roman" w:hAnsi="Times New Roman" w:eastAsia="方正仿宋_GBK"/>
                <w:sz w:val="32"/>
                <w:szCs w:val="32"/>
                <w:highlight w:val="none"/>
              </w:rPr>
              <w:t>（公章）</w:t>
            </w:r>
          </w:p>
        </w:tc>
      </w:tr>
    </w:tbl>
    <w:p w14:paraId="2287E40D">
      <w:pPr>
        <w:spacing w:line="594" w:lineRule="exact"/>
        <w:jc w:val="left"/>
        <w:rPr>
          <w:rFonts w:ascii="Times New Roman" w:hAnsi="Times New Roman" w:eastAsia="方正仿宋_GBK"/>
          <w:color w:val="000000"/>
          <w:sz w:val="32"/>
          <w:szCs w:val="32"/>
          <w:highlight w:val="none"/>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51F"/>
    <w:rsid w:val="0000051F"/>
    <w:rsid w:val="003D138C"/>
    <w:rsid w:val="00610322"/>
    <w:rsid w:val="0078143C"/>
    <w:rsid w:val="00CB5461"/>
    <w:rsid w:val="014F12F6"/>
    <w:rsid w:val="017B11E4"/>
    <w:rsid w:val="01972CC8"/>
    <w:rsid w:val="06897EFF"/>
    <w:rsid w:val="07013F3A"/>
    <w:rsid w:val="07754928"/>
    <w:rsid w:val="07A64AE1"/>
    <w:rsid w:val="0878022B"/>
    <w:rsid w:val="0A2C39C3"/>
    <w:rsid w:val="0A5E16A3"/>
    <w:rsid w:val="0B4D3BF1"/>
    <w:rsid w:val="0B845139"/>
    <w:rsid w:val="0B8E1EB5"/>
    <w:rsid w:val="0C656D19"/>
    <w:rsid w:val="0C9B7B18"/>
    <w:rsid w:val="0E5C239D"/>
    <w:rsid w:val="0E5E4BBB"/>
    <w:rsid w:val="0FE268D2"/>
    <w:rsid w:val="104A4BA3"/>
    <w:rsid w:val="15033573"/>
    <w:rsid w:val="15AA4EAB"/>
    <w:rsid w:val="15F1786F"/>
    <w:rsid w:val="160B0931"/>
    <w:rsid w:val="186B3909"/>
    <w:rsid w:val="18AE7C99"/>
    <w:rsid w:val="1901601B"/>
    <w:rsid w:val="1A9A2283"/>
    <w:rsid w:val="1C746B04"/>
    <w:rsid w:val="1DA17DCD"/>
    <w:rsid w:val="1DFE521F"/>
    <w:rsid w:val="1F002486"/>
    <w:rsid w:val="1F4B7FF0"/>
    <w:rsid w:val="20EF0E4F"/>
    <w:rsid w:val="24A32FA0"/>
    <w:rsid w:val="25AA086D"/>
    <w:rsid w:val="26AD1590"/>
    <w:rsid w:val="272B40F4"/>
    <w:rsid w:val="27EF20D8"/>
    <w:rsid w:val="27FF7BCA"/>
    <w:rsid w:val="290336EA"/>
    <w:rsid w:val="29385A89"/>
    <w:rsid w:val="293D27B5"/>
    <w:rsid w:val="294206B6"/>
    <w:rsid w:val="2A0B0AA8"/>
    <w:rsid w:val="2B2D2CA0"/>
    <w:rsid w:val="2C074C8B"/>
    <w:rsid w:val="2C6F3256"/>
    <w:rsid w:val="2D574004"/>
    <w:rsid w:val="2D5B50F8"/>
    <w:rsid w:val="2EC61441"/>
    <w:rsid w:val="310B75DF"/>
    <w:rsid w:val="31D16A7B"/>
    <w:rsid w:val="371B2546"/>
    <w:rsid w:val="37C36E66"/>
    <w:rsid w:val="3CE8111C"/>
    <w:rsid w:val="3F2F6B8F"/>
    <w:rsid w:val="3F4A5777"/>
    <w:rsid w:val="403B6B60"/>
    <w:rsid w:val="41195D48"/>
    <w:rsid w:val="41780CC1"/>
    <w:rsid w:val="41A35BF5"/>
    <w:rsid w:val="44D51F86"/>
    <w:rsid w:val="462F1A6E"/>
    <w:rsid w:val="478D6B48"/>
    <w:rsid w:val="47AF62F5"/>
    <w:rsid w:val="4A4F27DB"/>
    <w:rsid w:val="4A9D460A"/>
    <w:rsid w:val="4C066EC9"/>
    <w:rsid w:val="4C1A4723"/>
    <w:rsid w:val="4CDD7C2A"/>
    <w:rsid w:val="4CE23492"/>
    <w:rsid w:val="4E8A474F"/>
    <w:rsid w:val="4EB86BA1"/>
    <w:rsid w:val="502913D8"/>
    <w:rsid w:val="51CE2237"/>
    <w:rsid w:val="525F10E1"/>
    <w:rsid w:val="56C67981"/>
    <w:rsid w:val="596A0A97"/>
    <w:rsid w:val="59981AA8"/>
    <w:rsid w:val="5A6E45B7"/>
    <w:rsid w:val="5D916F3A"/>
    <w:rsid w:val="5E9F11E3"/>
    <w:rsid w:val="5EBD78BB"/>
    <w:rsid w:val="5EC56B5C"/>
    <w:rsid w:val="600357A2"/>
    <w:rsid w:val="602C198F"/>
    <w:rsid w:val="60C91F2E"/>
    <w:rsid w:val="61882403"/>
    <w:rsid w:val="64882719"/>
    <w:rsid w:val="654146F0"/>
    <w:rsid w:val="67C73559"/>
    <w:rsid w:val="69601EB7"/>
    <w:rsid w:val="6B2667E8"/>
    <w:rsid w:val="6CC664D5"/>
    <w:rsid w:val="701E111B"/>
    <w:rsid w:val="724D5DB4"/>
    <w:rsid w:val="73A86934"/>
    <w:rsid w:val="7423246A"/>
    <w:rsid w:val="75B50E95"/>
    <w:rsid w:val="75B710B1"/>
    <w:rsid w:val="7A5A200A"/>
    <w:rsid w:val="7B633A1B"/>
    <w:rsid w:val="7CF827A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Style w:val="2"/>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927</Words>
  <Characters>979</Characters>
  <Lines>8</Lines>
  <Paragraphs>2</Paragraphs>
  <TotalTime>1</TotalTime>
  <ScaleCrop>false</ScaleCrop>
  <LinksUpToDate>false</LinksUpToDate>
  <CharactersWithSpaces>1095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2026-02-06T03:40:00Z</dcterms:created>
  <dc:creator>Administrator</dc:creator>
  <cp:lastModifiedBy>李鳌</cp:lastModifiedBy>
  <dcterms:modified xsi:type="dcterms:W3CDTF">2026-02-11T08:01:05Z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KSOTemplateDocerSaveRecord">
    <vt:lpwstr>eyJoZGlkIjoiZmU5ZDkyODdkZGI2ODMxNDViMGVjMGEzMjliZmI1NDgiLCJ1c2VySWQiOiIxNDYxMjQ3Njg2In0=</vt:lpwstr>
  </property>
  <property fmtid="{D5CDD505-2E9C-101B-9397-08002B2CF9AE}" pid="4" name="ICV">
    <vt:lpwstr>AB3A3B408EA14B50A30A34B6999A4A81_13</vt:lpwstr>
  </property>
</Properties>
</file>